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A5" w:rsidRDefault="00D768B8">
      <w:pPr>
        <w:rPr>
          <w:b/>
          <w:bCs/>
          <w:lang w:val="en-US"/>
        </w:rPr>
      </w:pPr>
      <w:r w:rsidRPr="00D768B8">
        <w:rPr>
          <w:rFonts w:ascii="Arial" w:hAnsi="Arial" w:cs="Arial"/>
          <w:b/>
          <w:bCs/>
          <w:noProof/>
          <w:color w:val="002060"/>
          <w:lang w:eastAsia="en-GB"/>
        </w:rPr>
        <w:drawing>
          <wp:anchor distT="0" distB="0" distL="114300" distR="114300" simplePos="0" relativeHeight="251658240" behindDoc="0" locked="0" layoutInCell="1" allowOverlap="1">
            <wp:simplePos x="0" y="0"/>
            <wp:positionH relativeFrom="column">
              <wp:posOffset>8699500</wp:posOffset>
            </wp:positionH>
            <wp:positionV relativeFrom="paragraph">
              <wp:posOffset>0</wp:posOffset>
            </wp:positionV>
            <wp:extent cx="666750" cy="661035"/>
            <wp:effectExtent l="0" t="0" r="0" b="5715"/>
            <wp:wrapThrough wrapText="bothSides">
              <wp:wrapPolygon edited="0">
                <wp:start x="9257" y="0"/>
                <wp:lineTo x="5554" y="622"/>
                <wp:lineTo x="2469" y="4980"/>
                <wp:lineTo x="2469" y="9960"/>
                <wp:lineTo x="0" y="17429"/>
                <wp:lineTo x="0" y="18674"/>
                <wp:lineTo x="3703" y="21164"/>
                <wp:lineTo x="16663" y="21164"/>
                <wp:lineTo x="20983" y="18674"/>
                <wp:lineTo x="20983" y="17429"/>
                <wp:lineTo x="19749" y="8715"/>
                <wp:lineTo x="17897" y="3112"/>
                <wp:lineTo x="14811" y="0"/>
                <wp:lineTo x="9257" y="0"/>
              </wp:wrapPolygon>
            </wp:wrapThrough>
            <wp:docPr id="5" name="Picture 4" descr="Logo&#10;&#10;Description automatically generated">
              <a:extLst xmlns:a="http://schemas.openxmlformats.org/drawingml/2006/main">
                <a:ext uri="{FF2B5EF4-FFF2-40B4-BE49-F238E27FC236}">
                  <a16:creationId xmlns:a16="http://schemas.microsoft.com/office/drawing/2014/main" id="{7BCBB235-4721-4BB5-8DB3-65A68584B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7BCBB235-4721-4BB5-8DB3-65A68584BC6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61035"/>
                    </a:xfrm>
                    <a:prstGeom prst="rect">
                      <a:avLst/>
                    </a:prstGeom>
                  </pic:spPr>
                </pic:pic>
              </a:graphicData>
            </a:graphic>
          </wp:anchor>
        </w:drawing>
      </w:r>
      <w:r w:rsidRPr="00D768B8">
        <w:rPr>
          <w:b/>
          <w:bCs/>
          <w:lang w:val="en-US"/>
        </w:rPr>
        <w:t>Curriculum Map</w:t>
      </w:r>
      <w:r w:rsidR="00A603B7">
        <w:rPr>
          <w:b/>
          <w:bCs/>
          <w:lang w:val="en-US"/>
        </w:rPr>
        <w:t xml:space="preserve"> - R-Time</w:t>
      </w:r>
    </w:p>
    <w:p w:rsidR="00A603B7" w:rsidRPr="00F64A50" w:rsidRDefault="00C51F66" w:rsidP="00A603B7">
      <w:pPr>
        <w:rPr>
          <w:sz w:val="24"/>
          <w:szCs w:val="24"/>
        </w:rPr>
      </w:pPr>
      <w:r>
        <w:rPr>
          <w:b/>
          <w:noProof/>
          <w:lang w:eastAsia="en-GB"/>
        </w:rPr>
        <w:drawing>
          <wp:anchor distT="0" distB="0" distL="114300" distR="114300" simplePos="0" relativeHeight="251660288" behindDoc="0" locked="0" layoutInCell="1" allowOverlap="1">
            <wp:simplePos x="0" y="0"/>
            <wp:positionH relativeFrom="margin">
              <wp:posOffset>8877300</wp:posOffset>
            </wp:positionH>
            <wp:positionV relativeFrom="paragraph">
              <wp:posOffset>598805</wp:posOffset>
            </wp:positionV>
            <wp:extent cx="828675" cy="828675"/>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sidR="00A603B7" w:rsidRPr="00A603B7">
        <w:rPr>
          <w:b/>
        </w:rPr>
        <w:t>Subject Intent:</w:t>
      </w:r>
      <w:r w:rsidR="00A603B7">
        <w:t xml:space="preserve"> </w:t>
      </w:r>
      <w:r w:rsidR="00A603B7" w:rsidRPr="00F64A50">
        <w:rPr>
          <w:sz w:val="24"/>
          <w:szCs w:val="24"/>
        </w:rPr>
        <w:t xml:space="preserve">At </w:t>
      </w:r>
      <w:proofErr w:type="gramStart"/>
      <w:r w:rsidR="00A603B7" w:rsidRPr="00F64A50">
        <w:rPr>
          <w:sz w:val="24"/>
          <w:szCs w:val="24"/>
        </w:rPr>
        <w:t>The</w:t>
      </w:r>
      <w:proofErr w:type="gramEnd"/>
      <w:r w:rsidR="00A603B7" w:rsidRPr="00F64A50">
        <w:rPr>
          <w:sz w:val="24"/>
          <w:szCs w:val="24"/>
        </w:rPr>
        <w:t xml:space="preserve"> Derby High School our R-Time curriculum is relevant with meaningful content enabling students to become healthy, independent and responsible members of society, now and in later life. It encourages students to take safe risks by building their confidence in, and understanding of a wide range of topics and themes that are well-planned and sequenced throughout key stages 3 and 4. </w:t>
      </w:r>
    </w:p>
    <w:p w:rsidR="00A603B7" w:rsidRPr="00F64A50" w:rsidRDefault="00A603B7" w:rsidP="00A603B7">
      <w:pPr>
        <w:pStyle w:val="paragraph"/>
        <w:spacing w:before="0" w:beforeAutospacing="0" w:after="0" w:afterAutospacing="0"/>
        <w:textAlignment w:val="baseline"/>
        <w:rPr>
          <w:rStyle w:val="eop"/>
          <w:rFonts w:asciiTheme="minorHAnsi" w:hAnsiTheme="minorHAnsi" w:cs="Segoe UI"/>
        </w:rPr>
      </w:pPr>
      <w:r w:rsidRPr="00F64A50">
        <w:rPr>
          <w:rStyle w:val="eop"/>
          <w:rFonts w:asciiTheme="minorHAnsi" w:hAnsiTheme="minorHAnsi" w:cs="Segoe UI"/>
        </w:rPr>
        <w:t> </w:t>
      </w:r>
      <w:r w:rsidRPr="00F64A50">
        <w:rPr>
          <w:rStyle w:val="normaltextrun"/>
          <w:rFonts w:asciiTheme="minorHAnsi" w:hAnsiTheme="minorHAnsi" w:cs="Segoe UI"/>
        </w:rPr>
        <w:t xml:space="preserve">Our vision is to offer a well-structured, relevant programme that is flexible enough to respond to the needs of our students and our local community. </w:t>
      </w:r>
      <w:r w:rsidR="00725839">
        <w:rPr>
          <w:rStyle w:val="normaltextrun"/>
          <w:rFonts w:asciiTheme="minorHAnsi" w:hAnsiTheme="minorHAnsi" w:cs="Segoe UI"/>
        </w:rPr>
        <w:t xml:space="preserve">The </w:t>
      </w:r>
      <w:r w:rsidRPr="00F64A50">
        <w:rPr>
          <w:rStyle w:val="normaltextrun"/>
          <w:rFonts w:asciiTheme="minorHAnsi" w:hAnsiTheme="minorHAnsi" w:cs="Segoe UI"/>
        </w:rPr>
        <w:t xml:space="preserve">curriculum will </w:t>
      </w:r>
      <w:r w:rsidR="00725839">
        <w:rPr>
          <w:rStyle w:val="normaltextrun"/>
          <w:rFonts w:asciiTheme="minorHAnsi" w:hAnsiTheme="minorHAnsi" w:cs="Segoe UI"/>
        </w:rPr>
        <w:t xml:space="preserve">be </w:t>
      </w:r>
      <w:r w:rsidR="00725839" w:rsidRPr="00F64A50">
        <w:rPr>
          <w:rStyle w:val="normaltextrun"/>
          <w:rFonts w:asciiTheme="minorHAnsi" w:hAnsiTheme="minorHAnsi" w:cs="Segoe UI"/>
        </w:rPr>
        <w:t>flexible</w:t>
      </w:r>
      <w:r w:rsidRPr="00F64A50">
        <w:rPr>
          <w:rStyle w:val="normaltextrun"/>
          <w:rFonts w:asciiTheme="minorHAnsi" w:hAnsiTheme="minorHAnsi" w:cs="Segoe UI"/>
        </w:rPr>
        <w:t xml:space="preserve"> to respond to local, regional, national, and global events whilst meeting the statutory RSHE outcomes.</w:t>
      </w:r>
      <w:r w:rsidRPr="00F64A50">
        <w:rPr>
          <w:rStyle w:val="eop"/>
          <w:rFonts w:asciiTheme="minorHAnsi" w:hAnsiTheme="minorHAnsi" w:cs="Segoe UI"/>
        </w:rPr>
        <w:t> </w:t>
      </w:r>
      <w:r w:rsidR="00725839">
        <w:rPr>
          <w:rStyle w:val="eop"/>
          <w:rFonts w:asciiTheme="minorHAnsi" w:hAnsiTheme="minorHAnsi" w:cs="Segoe UI"/>
        </w:rPr>
        <w:t>Different Awareness Days will be addressed by every year group each half term.</w:t>
      </w:r>
    </w:p>
    <w:p w:rsidR="00A603B7" w:rsidRPr="00F64A50" w:rsidRDefault="00A603B7" w:rsidP="00A603B7">
      <w:pPr>
        <w:pStyle w:val="paragraph"/>
        <w:spacing w:before="0" w:beforeAutospacing="0" w:after="0" w:afterAutospacing="0"/>
        <w:textAlignment w:val="baseline"/>
        <w:rPr>
          <w:rStyle w:val="eop"/>
          <w:rFonts w:asciiTheme="minorHAnsi" w:hAnsiTheme="minorHAnsi" w:cs="Segoe UI"/>
        </w:rPr>
      </w:pPr>
    </w:p>
    <w:p w:rsidR="00A603B7" w:rsidRPr="00F64A50" w:rsidRDefault="00A603B7" w:rsidP="00A603B7">
      <w:pPr>
        <w:spacing w:after="0" w:line="240" w:lineRule="auto"/>
        <w:rPr>
          <w:rFonts w:eastAsia="Times New Roman" w:cs="Times New Roman"/>
          <w:sz w:val="24"/>
          <w:szCs w:val="24"/>
          <w:lang w:eastAsia="en-GB"/>
        </w:rPr>
      </w:pPr>
      <w:r w:rsidRPr="00F64A50">
        <w:rPr>
          <w:rFonts w:eastAsia="Times New Roman" w:cs="Calibri"/>
          <w:color w:val="000000"/>
          <w:sz w:val="24"/>
          <w:szCs w:val="24"/>
          <w:lang w:eastAsia="en-GB"/>
        </w:rPr>
        <w:t>Our programme promotes the values of establishing informed and active involvement in family, school, social, economic and civic life and ensures that students revisit each of the f</w:t>
      </w:r>
      <w:bookmarkStart w:id="0" w:name="_GoBack"/>
      <w:bookmarkEnd w:id="0"/>
      <w:r w:rsidRPr="00F64A50">
        <w:rPr>
          <w:rFonts w:eastAsia="Times New Roman" w:cs="Calibri"/>
          <w:color w:val="000000"/>
          <w:sz w:val="24"/>
          <w:szCs w:val="24"/>
          <w:lang w:eastAsia="en-GB"/>
        </w:rPr>
        <w:t>ollowing core themes as they progress through school: </w:t>
      </w:r>
    </w:p>
    <w:p w:rsidR="00A603B7" w:rsidRPr="00F64A50" w:rsidRDefault="00A603B7" w:rsidP="00A603B7">
      <w:pPr>
        <w:numPr>
          <w:ilvl w:val="0"/>
          <w:numId w:val="1"/>
        </w:numPr>
        <w:spacing w:after="0" w:line="240" w:lineRule="auto"/>
        <w:textAlignment w:val="baseline"/>
        <w:rPr>
          <w:rFonts w:eastAsia="Times New Roman" w:cs="Calibri"/>
          <w:color w:val="000000"/>
          <w:sz w:val="24"/>
          <w:szCs w:val="24"/>
          <w:lang w:eastAsia="en-GB"/>
        </w:rPr>
      </w:pPr>
      <w:r w:rsidRPr="00F64A50">
        <w:rPr>
          <w:rFonts w:eastAsia="Times New Roman" w:cs="Calibri"/>
          <w:b/>
          <w:bCs/>
          <w:i/>
          <w:iCs/>
          <w:color w:val="000000"/>
          <w:sz w:val="24"/>
          <w:szCs w:val="24"/>
          <w:lang w:eastAsia="en-GB"/>
        </w:rPr>
        <w:t>Health and Wellbeing</w:t>
      </w:r>
    </w:p>
    <w:p w:rsidR="00A603B7" w:rsidRPr="00F64A50" w:rsidRDefault="00A603B7" w:rsidP="00A603B7">
      <w:pPr>
        <w:numPr>
          <w:ilvl w:val="0"/>
          <w:numId w:val="1"/>
        </w:numPr>
        <w:spacing w:after="0" w:line="240" w:lineRule="auto"/>
        <w:textAlignment w:val="baseline"/>
        <w:rPr>
          <w:rFonts w:eastAsia="Times New Roman" w:cs="Calibri"/>
          <w:color w:val="000000"/>
          <w:sz w:val="24"/>
          <w:szCs w:val="24"/>
          <w:lang w:eastAsia="en-GB"/>
        </w:rPr>
      </w:pPr>
      <w:r w:rsidRPr="00F64A50">
        <w:rPr>
          <w:rFonts w:eastAsia="Times New Roman" w:cs="Calibri"/>
          <w:b/>
          <w:bCs/>
          <w:i/>
          <w:iCs/>
          <w:color w:val="000000"/>
          <w:sz w:val="24"/>
          <w:szCs w:val="24"/>
          <w:lang w:eastAsia="en-GB"/>
        </w:rPr>
        <w:t>Relationships</w:t>
      </w:r>
    </w:p>
    <w:p w:rsidR="00A603B7" w:rsidRPr="00C51F66" w:rsidRDefault="00A603B7" w:rsidP="00A603B7">
      <w:pPr>
        <w:numPr>
          <w:ilvl w:val="0"/>
          <w:numId w:val="1"/>
        </w:numPr>
        <w:spacing w:after="0" w:line="240" w:lineRule="auto"/>
        <w:textAlignment w:val="baseline"/>
        <w:rPr>
          <w:rFonts w:eastAsia="Times New Roman" w:cs="Calibri"/>
          <w:color w:val="000000"/>
          <w:sz w:val="24"/>
          <w:szCs w:val="24"/>
          <w:lang w:eastAsia="en-GB"/>
        </w:rPr>
      </w:pPr>
      <w:r w:rsidRPr="00F64A50">
        <w:rPr>
          <w:rFonts w:eastAsia="Times New Roman" w:cs="Calibri"/>
          <w:b/>
          <w:bCs/>
          <w:i/>
          <w:iCs/>
          <w:color w:val="000000"/>
          <w:sz w:val="24"/>
          <w:szCs w:val="24"/>
          <w:lang w:eastAsia="en-GB"/>
        </w:rPr>
        <w:t>Living in the Wider World</w:t>
      </w:r>
    </w:p>
    <w:p w:rsidR="00C51F66" w:rsidRPr="00A603B7" w:rsidRDefault="00C51F66" w:rsidP="00C51F66">
      <w:pPr>
        <w:spacing w:after="0" w:line="240" w:lineRule="auto"/>
        <w:ind w:left="720"/>
        <w:textAlignment w:val="baseline"/>
        <w:rPr>
          <w:rFonts w:eastAsia="Times New Roman" w:cs="Calibri"/>
          <w:color w:val="000000"/>
          <w:sz w:val="24"/>
          <w:szCs w:val="24"/>
          <w:lang w:eastAsia="en-GB"/>
        </w:rPr>
      </w:pPr>
    </w:p>
    <w:tbl>
      <w:tblPr>
        <w:tblStyle w:val="TableGrid"/>
        <w:tblW w:w="0" w:type="auto"/>
        <w:tblLook w:val="04A0" w:firstRow="1" w:lastRow="0" w:firstColumn="1" w:lastColumn="0" w:noHBand="0" w:noVBand="1"/>
      </w:tblPr>
      <w:tblGrid>
        <w:gridCol w:w="1670"/>
        <w:gridCol w:w="1699"/>
        <w:gridCol w:w="708"/>
        <w:gridCol w:w="1564"/>
        <w:gridCol w:w="1564"/>
        <w:gridCol w:w="1565"/>
        <w:gridCol w:w="1564"/>
        <w:gridCol w:w="1565"/>
        <w:gridCol w:w="2275"/>
      </w:tblGrid>
      <w:tr w:rsidR="00725839" w:rsidTr="00725839">
        <w:tc>
          <w:tcPr>
            <w:tcW w:w="1670" w:type="dxa"/>
            <w:vMerge w:val="restart"/>
          </w:tcPr>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R</w:t>
            </w: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Real World</w:t>
            </w:r>
          </w:p>
          <w:p w:rsidR="00725839" w:rsidRPr="008B2A4F" w:rsidRDefault="00725839" w:rsidP="006505FF">
            <w:pPr>
              <w:spacing w:line="240" w:lineRule="auto"/>
              <w:jc w:val="center"/>
              <w:rPr>
                <w:rFonts w:ascii="Century Gothic" w:hAnsi="Century Gothic"/>
                <w:b/>
                <w:color w:val="00B0F0"/>
                <w:sz w:val="20"/>
                <w:szCs w:val="20"/>
              </w:rPr>
            </w:pP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E</w:t>
            </w: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Engaging &amp; Enriching</w:t>
            </w:r>
          </w:p>
          <w:p w:rsidR="00725839" w:rsidRPr="008B2A4F" w:rsidRDefault="00725839" w:rsidP="006505FF">
            <w:pPr>
              <w:spacing w:line="240" w:lineRule="auto"/>
              <w:jc w:val="center"/>
              <w:rPr>
                <w:rFonts w:ascii="Century Gothic" w:hAnsi="Century Gothic"/>
                <w:b/>
                <w:color w:val="00B0F0"/>
                <w:sz w:val="20"/>
                <w:szCs w:val="20"/>
              </w:rPr>
            </w:pP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S</w:t>
            </w: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Skills for Life</w:t>
            </w:r>
          </w:p>
          <w:p w:rsidR="00725839" w:rsidRPr="008B2A4F" w:rsidRDefault="00725839" w:rsidP="006505FF">
            <w:pPr>
              <w:spacing w:line="240" w:lineRule="auto"/>
              <w:jc w:val="center"/>
              <w:rPr>
                <w:rFonts w:ascii="Century Gothic" w:hAnsi="Century Gothic"/>
                <w:b/>
                <w:color w:val="00B0F0"/>
                <w:sz w:val="20"/>
                <w:szCs w:val="20"/>
              </w:rPr>
            </w:pP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I</w:t>
            </w: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Inclusive</w:t>
            </w:r>
          </w:p>
          <w:p w:rsidR="00725839" w:rsidRPr="008B2A4F" w:rsidRDefault="00725839" w:rsidP="006505FF">
            <w:pPr>
              <w:spacing w:line="240" w:lineRule="auto"/>
              <w:jc w:val="center"/>
              <w:rPr>
                <w:rFonts w:ascii="Century Gothic" w:hAnsi="Century Gothic"/>
                <w:b/>
                <w:color w:val="00B0F0"/>
                <w:sz w:val="20"/>
                <w:szCs w:val="20"/>
              </w:rPr>
            </w:pP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L</w:t>
            </w: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Leadership</w:t>
            </w:r>
          </w:p>
          <w:p w:rsidR="00725839" w:rsidRPr="008B2A4F" w:rsidRDefault="00725839" w:rsidP="006505FF">
            <w:pPr>
              <w:spacing w:line="240" w:lineRule="auto"/>
              <w:jc w:val="center"/>
              <w:rPr>
                <w:rFonts w:ascii="Century Gothic" w:hAnsi="Century Gothic"/>
                <w:b/>
                <w:color w:val="00B0F0"/>
                <w:sz w:val="20"/>
                <w:szCs w:val="20"/>
              </w:rPr>
            </w:pP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I</w:t>
            </w: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Independence</w:t>
            </w:r>
          </w:p>
          <w:p w:rsidR="00725839" w:rsidRPr="008B2A4F" w:rsidRDefault="00725839" w:rsidP="006505FF">
            <w:pPr>
              <w:spacing w:line="240" w:lineRule="auto"/>
              <w:jc w:val="center"/>
              <w:rPr>
                <w:rFonts w:ascii="Century Gothic" w:hAnsi="Century Gothic"/>
                <w:b/>
                <w:color w:val="00B0F0"/>
                <w:sz w:val="20"/>
                <w:szCs w:val="20"/>
              </w:rPr>
            </w:pP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E</w:t>
            </w:r>
          </w:p>
          <w:p w:rsidR="00725839"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 xml:space="preserve">Encourages </w:t>
            </w:r>
            <w:r w:rsidRPr="008B2A4F">
              <w:rPr>
                <w:rFonts w:ascii="Century Gothic" w:hAnsi="Century Gothic"/>
                <w:b/>
                <w:color w:val="00B0F0"/>
                <w:sz w:val="20"/>
                <w:szCs w:val="20"/>
              </w:rPr>
              <w:lastRenderedPageBreak/>
              <w:t>Reflection</w:t>
            </w:r>
          </w:p>
          <w:p w:rsidR="00725839" w:rsidRPr="008B2A4F" w:rsidRDefault="00725839" w:rsidP="006505FF">
            <w:pPr>
              <w:spacing w:line="240" w:lineRule="auto"/>
              <w:jc w:val="center"/>
              <w:rPr>
                <w:rFonts w:ascii="Century Gothic" w:hAnsi="Century Gothic"/>
                <w:b/>
                <w:color w:val="00B0F0"/>
                <w:sz w:val="20"/>
                <w:szCs w:val="20"/>
              </w:rPr>
            </w:pP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N</w:t>
            </w: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Next Steps</w:t>
            </w:r>
          </w:p>
          <w:p w:rsidR="00725839" w:rsidRPr="008B2A4F" w:rsidRDefault="00725839" w:rsidP="006505FF">
            <w:pPr>
              <w:spacing w:line="240" w:lineRule="auto"/>
              <w:jc w:val="center"/>
              <w:rPr>
                <w:rFonts w:ascii="Century Gothic" w:hAnsi="Century Gothic"/>
                <w:b/>
                <w:color w:val="00B0F0"/>
                <w:sz w:val="20"/>
                <w:szCs w:val="20"/>
              </w:rPr>
            </w:pP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C</w:t>
            </w: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Challenge</w:t>
            </w:r>
          </w:p>
          <w:p w:rsidR="00725839" w:rsidRPr="008B2A4F" w:rsidRDefault="00725839" w:rsidP="006505FF">
            <w:pPr>
              <w:spacing w:line="240" w:lineRule="auto"/>
              <w:jc w:val="center"/>
              <w:rPr>
                <w:rFonts w:ascii="Century Gothic" w:hAnsi="Century Gothic"/>
                <w:b/>
                <w:color w:val="00B0F0"/>
                <w:sz w:val="20"/>
                <w:szCs w:val="20"/>
              </w:rPr>
            </w:pPr>
          </w:p>
          <w:p w:rsidR="00725839" w:rsidRPr="008B2A4F" w:rsidRDefault="00725839" w:rsidP="006505FF">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E</w:t>
            </w:r>
          </w:p>
          <w:p w:rsidR="00725839" w:rsidRDefault="00725839" w:rsidP="006505FF">
            <w:pPr>
              <w:jc w:val="center"/>
              <w:rPr>
                <w:bCs/>
                <w:lang w:val="en-US"/>
              </w:rPr>
            </w:pPr>
            <w:r w:rsidRPr="008B2A4F">
              <w:rPr>
                <w:rFonts w:ascii="Century Gothic" w:hAnsi="Century Gothic"/>
                <w:b/>
                <w:color w:val="00B0F0"/>
                <w:sz w:val="20"/>
                <w:szCs w:val="20"/>
              </w:rPr>
              <w:t>Ethics &amp; Empathy</w:t>
            </w:r>
          </w:p>
        </w:tc>
        <w:tc>
          <w:tcPr>
            <w:tcW w:w="1699" w:type="dxa"/>
          </w:tcPr>
          <w:p w:rsidR="00725839" w:rsidRPr="00C51F66" w:rsidRDefault="00725839" w:rsidP="006505FF">
            <w:pPr>
              <w:rPr>
                <w:b/>
                <w:sz w:val="20"/>
              </w:rPr>
            </w:pPr>
            <w:r w:rsidRPr="00C51F66">
              <w:rPr>
                <w:b/>
                <w:sz w:val="20"/>
              </w:rPr>
              <w:lastRenderedPageBreak/>
              <w:t>KS2 National Curriculum</w:t>
            </w:r>
          </w:p>
        </w:tc>
        <w:tc>
          <w:tcPr>
            <w:tcW w:w="708" w:type="dxa"/>
          </w:tcPr>
          <w:p w:rsidR="00725839" w:rsidRPr="006505FF" w:rsidRDefault="00725839" w:rsidP="006505FF">
            <w:pPr>
              <w:rPr>
                <w:b/>
              </w:rPr>
            </w:pPr>
            <w:r w:rsidRPr="006505FF">
              <w:rPr>
                <w:b/>
              </w:rPr>
              <w:t>Unit</w:t>
            </w:r>
          </w:p>
        </w:tc>
        <w:tc>
          <w:tcPr>
            <w:tcW w:w="1564" w:type="dxa"/>
          </w:tcPr>
          <w:p w:rsidR="00725839" w:rsidRPr="00725839" w:rsidRDefault="00725839" w:rsidP="00C51F66">
            <w:pPr>
              <w:jc w:val="center"/>
              <w:rPr>
                <w:b/>
              </w:rPr>
            </w:pPr>
            <w:r w:rsidRPr="00725839">
              <w:rPr>
                <w:b/>
              </w:rPr>
              <w:t>7</w:t>
            </w:r>
          </w:p>
        </w:tc>
        <w:tc>
          <w:tcPr>
            <w:tcW w:w="1564" w:type="dxa"/>
          </w:tcPr>
          <w:p w:rsidR="00725839" w:rsidRPr="00725839" w:rsidRDefault="00725839" w:rsidP="00C51F66">
            <w:pPr>
              <w:jc w:val="center"/>
              <w:rPr>
                <w:b/>
              </w:rPr>
            </w:pPr>
            <w:r w:rsidRPr="00725839">
              <w:rPr>
                <w:b/>
              </w:rPr>
              <w:t>8</w:t>
            </w:r>
          </w:p>
        </w:tc>
        <w:tc>
          <w:tcPr>
            <w:tcW w:w="1565" w:type="dxa"/>
          </w:tcPr>
          <w:p w:rsidR="00725839" w:rsidRPr="00725839" w:rsidRDefault="00725839" w:rsidP="00C51F66">
            <w:pPr>
              <w:jc w:val="center"/>
              <w:rPr>
                <w:b/>
              </w:rPr>
            </w:pPr>
            <w:r w:rsidRPr="00725839">
              <w:rPr>
                <w:b/>
              </w:rPr>
              <w:t>9</w:t>
            </w:r>
          </w:p>
        </w:tc>
        <w:tc>
          <w:tcPr>
            <w:tcW w:w="1564" w:type="dxa"/>
          </w:tcPr>
          <w:p w:rsidR="00725839" w:rsidRPr="00725839" w:rsidRDefault="00725839" w:rsidP="00C51F66">
            <w:pPr>
              <w:jc w:val="center"/>
              <w:rPr>
                <w:b/>
              </w:rPr>
            </w:pPr>
            <w:r w:rsidRPr="00725839">
              <w:rPr>
                <w:b/>
              </w:rPr>
              <w:t>10</w:t>
            </w:r>
          </w:p>
        </w:tc>
        <w:tc>
          <w:tcPr>
            <w:tcW w:w="1565" w:type="dxa"/>
          </w:tcPr>
          <w:p w:rsidR="00725839" w:rsidRPr="00725839" w:rsidRDefault="00725839" w:rsidP="00C51F66">
            <w:pPr>
              <w:jc w:val="center"/>
              <w:rPr>
                <w:b/>
              </w:rPr>
            </w:pPr>
            <w:r w:rsidRPr="00725839">
              <w:rPr>
                <w:b/>
              </w:rPr>
              <w:t>11</w:t>
            </w:r>
          </w:p>
        </w:tc>
        <w:tc>
          <w:tcPr>
            <w:tcW w:w="2275" w:type="dxa"/>
          </w:tcPr>
          <w:p w:rsidR="00725839" w:rsidRPr="00C51F66" w:rsidRDefault="00725839" w:rsidP="006505FF">
            <w:pPr>
              <w:rPr>
                <w:b/>
                <w:sz w:val="20"/>
                <w:szCs w:val="20"/>
              </w:rPr>
            </w:pPr>
            <w:r w:rsidRPr="00C51F66">
              <w:rPr>
                <w:b/>
                <w:sz w:val="20"/>
                <w:szCs w:val="20"/>
              </w:rPr>
              <w:t>Next Steps</w:t>
            </w:r>
          </w:p>
        </w:tc>
      </w:tr>
      <w:tr w:rsidR="00725839" w:rsidTr="00725839">
        <w:tc>
          <w:tcPr>
            <w:tcW w:w="1670" w:type="dxa"/>
            <w:vMerge/>
          </w:tcPr>
          <w:p w:rsidR="00725839" w:rsidRDefault="00725839" w:rsidP="006505FF">
            <w:pPr>
              <w:rPr>
                <w:bCs/>
                <w:lang w:val="en-US"/>
              </w:rPr>
            </w:pPr>
          </w:p>
        </w:tc>
        <w:tc>
          <w:tcPr>
            <w:tcW w:w="1699" w:type="dxa"/>
            <w:vMerge w:val="restart"/>
          </w:tcPr>
          <w:p w:rsidR="00725839" w:rsidRPr="00C51F66" w:rsidRDefault="00725839" w:rsidP="006505FF">
            <w:pPr>
              <w:rPr>
                <w:sz w:val="20"/>
              </w:rPr>
            </w:pPr>
            <w:r w:rsidRPr="00C51F66">
              <w:rPr>
                <w:sz w:val="20"/>
              </w:rPr>
              <w:t>Children in primary schools have the same statutory requirements as those in secondary schools - with the content being delivered at an age-appropriate level.</w:t>
            </w:r>
          </w:p>
          <w:p w:rsidR="00725839" w:rsidRPr="00C51F66" w:rsidRDefault="00725839" w:rsidP="006505FF">
            <w:pPr>
              <w:rPr>
                <w:sz w:val="20"/>
              </w:rPr>
            </w:pPr>
          </w:p>
          <w:p w:rsidR="00725839" w:rsidRPr="00C51F66" w:rsidRDefault="00725839" w:rsidP="006505FF">
            <w:pPr>
              <w:rPr>
                <w:sz w:val="20"/>
              </w:rPr>
            </w:pPr>
            <w:r w:rsidRPr="00C51F66">
              <w:rPr>
                <w:sz w:val="20"/>
              </w:rPr>
              <w:t xml:space="preserve">For Relationships Education the focus in primary school should be on teaching the fundamental </w:t>
            </w:r>
            <w:r w:rsidRPr="00C51F66">
              <w:rPr>
                <w:sz w:val="20"/>
              </w:rPr>
              <w:lastRenderedPageBreak/>
              <w:t>building blocks and characteristics of positive relationships, with particular reference to friendships, family relationships, and relationships with other children and with adults.</w:t>
            </w:r>
          </w:p>
          <w:p w:rsidR="00725839" w:rsidRPr="00C51F66" w:rsidRDefault="00725839" w:rsidP="006505FF">
            <w:pPr>
              <w:rPr>
                <w:sz w:val="20"/>
              </w:rPr>
            </w:pPr>
          </w:p>
          <w:p w:rsidR="00725839" w:rsidRDefault="00725839" w:rsidP="006505FF">
            <w:pPr>
              <w:rPr>
                <w:sz w:val="20"/>
              </w:rPr>
            </w:pPr>
            <w:r w:rsidRPr="00C51F66">
              <w:rPr>
                <w:sz w:val="20"/>
              </w:rPr>
              <w:t>For Health Education the focus in primary school should be on teaching the characteristics of good physical health and mental wellbeing. Teachers should be clear that mental wellbeing is a normal part of daily life, in the same way as physical health.</w:t>
            </w:r>
          </w:p>
          <w:p w:rsidR="00725839" w:rsidRPr="00725839" w:rsidRDefault="00725839" w:rsidP="00725839">
            <w:pPr>
              <w:jc w:val="center"/>
              <w:rPr>
                <w:sz w:val="20"/>
              </w:rPr>
            </w:pPr>
          </w:p>
        </w:tc>
        <w:tc>
          <w:tcPr>
            <w:tcW w:w="708" w:type="dxa"/>
            <w:vMerge w:val="restart"/>
          </w:tcPr>
          <w:p w:rsidR="00725839" w:rsidRDefault="00725839" w:rsidP="006505FF">
            <w:r>
              <w:lastRenderedPageBreak/>
              <w:t>1</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Healthy Lifestyles</w:t>
            </w:r>
          </w:p>
          <w:p w:rsidR="00725839" w:rsidRPr="00725839" w:rsidRDefault="00725839" w:rsidP="00C51F66">
            <w:pPr>
              <w:jc w:val="center"/>
              <w:rPr>
                <w:rFonts w:eastAsia="Arial" w:cs="Arial"/>
              </w:rPr>
            </w:pPr>
            <w:r w:rsidRPr="00725839">
              <w:rPr>
                <w:rFonts w:eastAsia="Arial" w:cs="Arial"/>
              </w:rPr>
              <w:t>Factors affecting health and wellbeing</w:t>
            </w:r>
          </w:p>
          <w:p w:rsidR="00725839" w:rsidRPr="00725839" w:rsidRDefault="00725839" w:rsidP="00C51F66">
            <w:pPr>
              <w:jc w:val="center"/>
              <w:rPr>
                <w:rFonts w:eastAsia="Arial" w:cs="Arial"/>
              </w:rPr>
            </w:pPr>
          </w:p>
          <w:p w:rsidR="00725839" w:rsidRPr="00725839" w:rsidRDefault="00725839" w:rsidP="00C51F66">
            <w:pPr>
              <w:spacing w:line="240" w:lineRule="auto"/>
              <w:rPr>
                <w:rFonts w:eastAsia="Times New Roman" w:cs="Arial"/>
                <w:b/>
                <w:color w:val="000000"/>
                <w:lang w:eastAsia="en-GB"/>
              </w:rPr>
            </w:pP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Healthy Lifestyles</w:t>
            </w:r>
          </w:p>
          <w:p w:rsidR="00725839" w:rsidRPr="00725839" w:rsidRDefault="00725839" w:rsidP="00C51F66">
            <w:pPr>
              <w:jc w:val="center"/>
              <w:rPr>
                <w:bCs/>
                <w:lang w:val="en-US"/>
              </w:rPr>
            </w:pPr>
            <w:r w:rsidRPr="00725839">
              <w:rPr>
                <w:rFonts w:eastAsia="Arial" w:cs="Arial"/>
              </w:rPr>
              <w:t>Emotional health and wellbeing</w:t>
            </w:r>
          </w:p>
        </w:tc>
        <w:tc>
          <w:tcPr>
            <w:tcW w:w="1565"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Healthy Lifestyles</w:t>
            </w:r>
          </w:p>
          <w:p w:rsidR="00725839" w:rsidRPr="00725839" w:rsidRDefault="00725839" w:rsidP="00C51F66">
            <w:pPr>
              <w:jc w:val="center"/>
              <w:rPr>
                <w:bCs/>
                <w:lang w:val="en-US"/>
              </w:rPr>
            </w:pPr>
            <w:r w:rsidRPr="00725839">
              <w:rPr>
                <w:rFonts w:eastAsia="Arial" w:cs="Arial"/>
              </w:rPr>
              <w:t>Emotional health and wellbeing - Appearance ideals</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Healthy Lifestyles</w:t>
            </w:r>
          </w:p>
          <w:p w:rsidR="00725839" w:rsidRPr="00725839" w:rsidRDefault="00725839" w:rsidP="00C51F66">
            <w:pPr>
              <w:jc w:val="center"/>
              <w:rPr>
                <w:bCs/>
                <w:lang w:val="en-US"/>
              </w:rPr>
            </w:pPr>
            <w:r w:rsidRPr="00725839">
              <w:rPr>
                <w:rFonts w:eastAsia="Arial" w:cs="Arial"/>
              </w:rPr>
              <w:t>Human Growth and Development</w:t>
            </w:r>
          </w:p>
        </w:tc>
        <w:tc>
          <w:tcPr>
            <w:tcW w:w="1565"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7030A0"/>
              </w:rPr>
            </w:pPr>
            <w:r w:rsidRPr="00725839">
              <w:rPr>
                <w:rFonts w:eastAsia="Arial" w:cs="Arial"/>
                <w:b/>
                <w:color w:val="7030A0"/>
              </w:rPr>
              <w:t>CEIaG</w:t>
            </w:r>
          </w:p>
          <w:p w:rsidR="00725839" w:rsidRPr="00725839" w:rsidRDefault="00725839" w:rsidP="00C51F66">
            <w:pPr>
              <w:jc w:val="center"/>
              <w:rPr>
                <w:bCs/>
                <w:lang w:val="en-US"/>
              </w:rPr>
            </w:pPr>
            <w:r w:rsidRPr="00725839">
              <w:rPr>
                <w:rFonts w:eastAsia="Arial" w:cs="Arial"/>
              </w:rPr>
              <w:t>Post-16 Education</w:t>
            </w:r>
          </w:p>
        </w:tc>
        <w:tc>
          <w:tcPr>
            <w:tcW w:w="2275" w:type="dxa"/>
            <w:vMerge w:val="restart"/>
          </w:tcPr>
          <w:p w:rsidR="00725839" w:rsidRPr="00C51F66" w:rsidRDefault="00725839" w:rsidP="006505FF">
            <w:pPr>
              <w:rPr>
                <w:sz w:val="20"/>
                <w:szCs w:val="20"/>
              </w:rPr>
            </w:pPr>
            <w:r w:rsidRPr="00725839">
              <w:rPr>
                <w:b/>
                <w:sz w:val="20"/>
                <w:szCs w:val="20"/>
              </w:rPr>
              <w:t>KS5:</w:t>
            </w:r>
            <w:r>
              <w:rPr>
                <w:b/>
                <w:sz w:val="20"/>
                <w:szCs w:val="20"/>
              </w:rPr>
              <w:t xml:space="preserve"> </w:t>
            </w:r>
            <w:r w:rsidRPr="00C51F66">
              <w:rPr>
                <w:rFonts w:cs="Helvetica"/>
                <w:color w:val="444444"/>
                <w:sz w:val="20"/>
                <w:szCs w:val="20"/>
                <w:shd w:val="clear" w:color="auto" w:fill="FFFFFF"/>
              </w:rPr>
              <w:t>Key stage 5 is the last opportunity to ensure that students have real competence in the skills and strategies they’ve been developing throughout their </w:t>
            </w:r>
            <w:r w:rsidRPr="00C51F66">
              <w:rPr>
                <w:rStyle w:val="Strong"/>
                <w:rFonts w:cs="Helvetica"/>
                <w:color w:val="444444"/>
                <w:sz w:val="20"/>
                <w:szCs w:val="20"/>
                <w:shd w:val="clear" w:color="auto" w:fill="FFFFFF"/>
              </w:rPr>
              <w:t>PSHE</w:t>
            </w:r>
            <w:r w:rsidRPr="00C51F66">
              <w:rPr>
                <w:rFonts w:cs="Helvetica"/>
                <w:color w:val="444444"/>
                <w:sz w:val="20"/>
                <w:szCs w:val="20"/>
                <w:shd w:val="clear" w:color="auto" w:fill="FFFFFF"/>
              </w:rPr>
              <w:t xml:space="preserve"> education — and to extend the knowledge and understanding that they need to equip them for independent living and the next stage in their education or career.  This will vary from each </w:t>
            </w:r>
            <w:proofErr w:type="gramStart"/>
            <w:r w:rsidRPr="00C51F66">
              <w:rPr>
                <w:rFonts w:cs="Helvetica"/>
                <w:color w:val="444444"/>
                <w:sz w:val="20"/>
                <w:szCs w:val="20"/>
                <w:shd w:val="clear" w:color="auto" w:fill="FFFFFF"/>
              </w:rPr>
              <w:t>provider,</w:t>
            </w:r>
            <w:proofErr w:type="gramEnd"/>
            <w:r w:rsidRPr="00C51F66">
              <w:rPr>
                <w:rFonts w:cs="Helvetica"/>
                <w:color w:val="444444"/>
                <w:sz w:val="20"/>
                <w:szCs w:val="20"/>
                <w:shd w:val="clear" w:color="auto" w:fill="FFFFFF"/>
              </w:rPr>
              <w:t xml:space="preserve"> however, it should be expected that </w:t>
            </w:r>
            <w:r w:rsidRPr="00C51F66">
              <w:rPr>
                <w:rFonts w:cs="Helvetica"/>
                <w:color w:val="444444"/>
                <w:sz w:val="20"/>
                <w:szCs w:val="20"/>
                <w:shd w:val="clear" w:color="auto" w:fill="FFFFFF"/>
              </w:rPr>
              <w:lastRenderedPageBreak/>
              <w:t>the statutory requirements for KS3&amp;4 are further developed and explored.</w:t>
            </w:r>
          </w:p>
          <w:p w:rsidR="00725839" w:rsidRPr="00C51F66" w:rsidRDefault="00725839" w:rsidP="006505FF">
            <w:pPr>
              <w:pStyle w:val="Normal1"/>
              <w:spacing w:before="240" w:after="240"/>
              <w:rPr>
                <w:rFonts w:asciiTheme="minorHAnsi" w:hAnsiTheme="minorHAnsi"/>
                <w:sz w:val="20"/>
                <w:szCs w:val="20"/>
              </w:rPr>
            </w:pPr>
            <w:r w:rsidRPr="00725839">
              <w:rPr>
                <w:rFonts w:asciiTheme="minorHAnsi" w:hAnsiTheme="minorHAnsi"/>
                <w:b/>
                <w:sz w:val="20"/>
                <w:szCs w:val="20"/>
              </w:rPr>
              <w:t>Careers:</w:t>
            </w:r>
            <w:r w:rsidRPr="00C51F66">
              <w:rPr>
                <w:rFonts w:asciiTheme="minorHAnsi" w:hAnsiTheme="minorHAnsi"/>
                <w:sz w:val="20"/>
                <w:szCs w:val="20"/>
              </w:rPr>
              <w:t xml:space="preserve">  We have a stable Careers Education Information and Guidance programme at The Derby High School delivered through the R-Time curriculum time. The information and guidance they receive at the different stages of their education journey aims to encourage students to see the relevance of their studies and ultimately obtain a meaningful career or occupation. </w:t>
            </w: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sz w:val="20"/>
              </w:rPr>
            </w:pPr>
          </w:p>
        </w:tc>
        <w:tc>
          <w:tcPr>
            <w:tcW w:w="708" w:type="dxa"/>
            <w:vMerge/>
          </w:tcPr>
          <w:p w:rsidR="00725839" w:rsidRDefault="00725839" w:rsidP="006505FF"/>
        </w:tc>
        <w:tc>
          <w:tcPr>
            <w:tcW w:w="7822" w:type="dxa"/>
            <w:gridSpan w:val="5"/>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7030A0"/>
              </w:rPr>
            </w:pPr>
            <w:r w:rsidRPr="00C51F66">
              <w:rPr>
                <w:rFonts w:eastAsia="Times New Roman" w:cs="Arial"/>
                <w:b/>
                <w:color w:val="000000"/>
                <w:lang w:eastAsia="en-GB"/>
              </w:rPr>
              <w:t>International Day of Democracy</w:t>
            </w:r>
          </w:p>
        </w:tc>
        <w:tc>
          <w:tcPr>
            <w:tcW w:w="2275" w:type="dxa"/>
            <w:vMerge/>
          </w:tcPr>
          <w:p w:rsidR="00725839" w:rsidRPr="00C51F66" w:rsidRDefault="00725839" w:rsidP="006505FF">
            <w:pPr>
              <w:rPr>
                <w:sz w:val="20"/>
                <w:szCs w:val="20"/>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val="restart"/>
          </w:tcPr>
          <w:p w:rsidR="00725839" w:rsidRDefault="00725839" w:rsidP="006505FF">
            <w:r>
              <w:t>2</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Relationships</w:t>
            </w:r>
          </w:p>
          <w:p w:rsidR="00725839" w:rsidRPr="00725839" w:rsidRDefault="00725839" w:rsidP="00C51F66">
            <w:pPr>
              <w:jc w:val="center"/>
              <w:rPr>
                <w:bCs/>
                <w:lang w:val="en-US"/>
              </w:rPr>
            </w:pPr>
            <w:r w:rsidRPr="00725839">
              <w:rPr>
                <w:rFonts w:eastAsia="Arial" w:cs="Arial"/>
              </w:rPr>
              <w:t>Friendships and Bullying</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Relationships</w:t>
            </w:r>
          </w:p>
          <w:p w:rsidR="00725839" w:rsidRPr="00725839" w:rsidRDefault="00725839" w:rsidP="00C51F66">
            <w:pPr>
              <w:jc w:val="center"/>
              <w:rPr>
                <w:bCs/>
                <w:lang w:val="en-US"/>
              </w:rPr>
            </w:pPr>
            <w:r w:rsidRPr="00725839">
              <w:rPr>
                <w:rFonts w:eastAsia="Arial" w:cs="Arial"/>
              </w:rPr>
              <w:t>Relationships with Others</w:t>
            </w:r>
          </w:p>
        </w:tc>
        <w:tc>
          <w:tcPr>
            <w:tcW w:w="1565"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Relationships</w:t>
            </w:r>
          </w:p>
          <w:p w:rsidR="00725839" w:rsidRPr="00725839" w:rsidRDefault="00725839" w:rsidP="00C51F66">
            <w:pPr>
              <w:jc w:val="center"/>
              <w:rPr>
                <w:bCs/>
                <w:lang w:val="en-US"/>
              </w:rPr>
            </w:pPr>
            <w:r w:rsidRPr="00725839">
              <w:rPr>
                <w:rFonts w:eastAsia="Arial" w:cs="Arial"/>
              </w:rPr>
              <w:t>Personal, Intimate and Sexual Relationships</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Relationships</w:t>
            </w:r>
          </w:p>
          <w:p w:rsidR="00725839" w:rsidRPr="00725839" w:rsidRDefault="00725839" w:rsidP="00C51F66">
            <w:pPr>
              <w:jc w:val="center"/>
              <w:rPr>
                <w:bCs/>
                <w:lang w:val="en-US"/>
              </w:rPr>
            </w:pPr>
            <w:r w:rsidRPr="00725839">
              <w:rPr>
                <w:rFonts w:eastAsia="Arial" w:cs="Arial"/>
              </w:rPr>
              <w:t>Living with a Disability</w:t>
            </w:r>
          </w:p>
        </w:tc>
        <w:tc>
          <w:tcPr>
            <w:tcW w:w="1565"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Relationships</w:t>
            </w:r>
          </w:p>
          <w:p w:rsidR="00725839" w:rsidRPr="00725839" w:rsidRDefault="00725839" w:rsidP="00C51F66">
            <w:pPr>
              <w:jc w:val="center"/>
              <w:rPr>
                <w:bCs/>
                <w:lang w:val="en-US"/>
              </w:rPr>
            </w:pPr>
            <w:r w:rsidRPr="00725839">
              <w:rPr>
                <w:rFonts w:eastAsia="Arial" w:cs="Arial"/>
              </w:rPr>
              <w:t>Unhealthy Relationships</w:t>
            </w:r>
          </w:p>
        </w:tc>
        <w:tc>
          <w:tcPr>
            <w:tcW w:w="2275" w:type="dxa"/>
            <w:vMerge/>
          </w:tcPr>
          <w:p w:rsidR="00725839" w:rsidRPr="00C51F66" w:rsidRDefault="00725839" w:rsidP="006505FF">
            <w:pPr>
              <w:rPr>
                <w:bCs/>
                <w:sz w:val="20"/>
                <w:szCs w:val="20"/>
                <w:lang w:val="en-US"/>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tcPr>
          <w:p w:rsidR="00725839" w:rsidRDefault="00725839" w:rsidP="006505FF"/>
        </w:tc>
        <w:tc>
          <w:tcPr>
            <w:tcW w:w="7822" w:type="dxa"/>
            <w:gridSpan w:val="5"/>
          </w:tcPr>
          <w:p w:rsidR="00725839" w:rsidRPr="00725839" w:rsidRDefault="00725839" w:rsidP="002F0F5A">
            <w:pPr>
              <w:widowControl w:val="0"/>
              <w:pBdr>
                <w:top w:val="nil"/>
                <w:left w:val="nil"/>
                <w:bottom w:val="nil"/>
                <w:right w:val="nil"/>
                <w:between w:val="nil"/>
              </w:pBdr>
              <w:spacing w:line="276" w:lineRule="auto"/>
              <w:jc w:val="center"/>
              <w:rPr>
                <w:rFonts w:eastAsia="Arial" w:cs="Arial"/>
                <w:b/>
                <w:color w:val="7030A0"/>
              </w:rPr>
            </w:pPr>
            <w:r w:rsidRPr="00725839">
              <w:rPr>
                <w:rFonts w:eastAsia="Times New Roman" w:cs="Arial"/>
                <w:b/>
                <w:color w:val="000000"/>
                <w:lang w:eastAsia="en-GB"/>
              </w:rPr>
              <w:t>Anti-bullying week</w:t>
            </w:r>
          </w:p>
        </w:tc>
        <w:tc>
          <w:tcPr>
            <w:tcW w:w="2275" w:type="dxa"/>
            <w:vMerge/>
          </w:tcPr>
          <w:p w:rsidR="00725839" w:rsidRPr="00C51F66" w:rsidRDefault="00725839" w:rsidP="006505FF">
            <w:pPr>
              <w:rPr>
                <w:bCs/>
                <w:sz w:val="20"/>
                <w:szCs w:val="20"/>
                <w:lang w:val="en-US"/>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val="restart"/>
          </w:tcPr>
          <w:p w:rsidR="00725839" w:rsidRDefault="00725839" w:rsidP="006505FF">
            <w:r>
              <w:t>3</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 xml:space="preserve">Living in the </w:t>
            </w:r>
            <w:r w:rsidRPr="00725839">
              <w:rPr>
                <w:rFonts w:eastAsia="Arial" w:cs="Arial"/>
                <w:b/>
                <w:color w:val="00B0F0"/>
              </w:rPr>
              <w:lastRenderedPageBreak/>
              <w:t>Wider World</w:t>
            </w:r>
          </w:p>
          <w:p w:rsidR="00725839" w:rsidRPr="00725839" w:rsidRDefault="00725839" w:rsidP="00C51F66">
            <w:pPr>
              <w:jc w:val="center"/>
              <w:rPr>
                <w:bCs/>
                <w:lang w:val="en-US"/>
              </w:rPr>
            </w:pPr>
            <w:r w:rsidRPr="00725839">
              <w:rPr>
                <w:rFonts w:eastAsia="Arial" w:cs="Arial"/>
              </w:rPr>
              <w:t>Personal Finance - Money Matters</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lastRenderedPageBreak/>
              <w:t xml:space="preserve">Healthy </w:t>
            </w:r>
            <w:r w:rsidRPr="00725839">
              <w:rPr>
                <w:rFonts w:eastAsia="Arial" w:cs="Arial"/>
                <w:b/>
                <w:color w:val="00B0F0"/>
              </w:rPr>
              <w:lastRenderedPageBreak/>
              <w:t>Lifestyles</w:t>
            </w:r>
          </w:p>
          <w:p w:rsidR="00725839" w:rsidRPr="00725839" w:rsidRDefault="00725839" w:rsidP="00C51F66">
            <w:pPr>
              <w:jc w:val="center"/>
              <w:rPr>
                <w:bCs/>
                <w:lang w:val="en-US"/>
              </w:rPr>
            </w:pPr>
            <w:r w:rsidRPr="00725839">
              <w:rPr>
                <w:rFonts w:eastAsia="Arial" w:cs="Arial"/>
              </w:rPr>
              <w:t>Basic First Aid</w:t>
            </w:r>
          </w:p>
        </w:tc>
        <w:tc>
          <w:tcPr>
            <w:tcW w:w="1565"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7030A0"/>
              </w:rPr>
            </w:pPr>
            <w:r w:rsidRPr="00725839">
              <w:rPr>
                <w:rFonts w:eastAsia="Arial" w:cs="Arial"/>
                <w:b/>
                <w:color w:val="7030A0"/>
              </w:rPr>
              <w:lastRenderedPageBreak/>
              <w:t>CEIaG</w:t>
            </w:r>
          </w:p>
          <w:p w:rsidR="00725839" w:rsidRPr="00725839" w:rsidRDefault="00725839" w:rsidP="00C51F66">
            <w:pPr>
              <w:jc w:val="center"/>
              <w:rPr>
                <w:bCs/>
                <w:lang w:val="en-US"/>
              </w:rPr>
            </w:pPr>
            <w:r w:rsidRPr="00725839">
              <w:rPr>
                <w:rFonts w:eastAsia="Arial" w:cs="Arial"/>
              </w:rPr>
              <w:lastRenderedPageBreak/>
              <w:t>Option Choices</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lastRenderedPageBreak/>
              <w:t xml:space="preserve">Living in the </w:t>
            </w:r>
            <w:r w:rsidRPr="00725839">
              <w:rPr>
                <w:rFonts w:eastAsia="Arial" w:cs="Arial"/>
                <w:b/>
                <w:color w:val="00B0F0"/>
              </w:rPr>
              <w:lastRenderedPageBreak/>
              <w:t>Wider World</w:t>
            </w:r>
          </w:p>
          <w:p w:rsidR="00725839" w:rsidRPr="00725839" w:rsidRDefault="00725839" w:rsidP="00C51F66">
            <w:pPr>
              <w:jc w:val="center"/>
              <w:rPr>
                <w:bCs/>
                <w:lang w:val="en-US"/>
              </w:rPr>
            </w:pPr>
            <w:r w:rsidRPr="00725839">
              <w:rPr>
                <w:rFonts w:eastAsia="Arial" w:cs="Arial"/>
              </w:rPr>
              <w:t>Personal Finance - Gambling</w:t>
            </w:r>
          </w:p>
        </w:tc>
        <w:tc>
          <w:tcPr>
            <w:tcW w:w="1565" w:type="dxa"/>
            <w:vMerge w:val="restart"/>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lastRenderedPageBreak/>
              <w:t xml:space="preserve">Healthy </w:t>
            </w:r>
            <w:r w:rsidRPr="00725839">
              <w:rPr>
                <w:rFonts w:eastAsia="Arial" w:cs="Arial"/>
                <w:b/>
                <w:color w:val="00B0F0"/>
              </w:rPr>
              <w:lastRenderedPageBreak/>
              <w:t>Lifestyles</w:t>
            </w:r>
          </w:p>
          <w:p w:rsidR="00725839" w:rsidRPr="00725839" w:rsidRDefault="00725839" w:rsidP="00C51F66">
            <w:pPr>
              <w:jc w:val="center"/>
              <w:rPr>
                <w:bCs/>
                <w:lang w:val="en-US"/>
              </w:rPr>
            </w:pPr>
            <w:r w:rsidRPr="00725839">
              <w:rPr>
                <w:rFonts w:eastAsia="Arial" w:cs="Arial"/>
              </w:rPr>
              <w:t>Stress Management</w:t>
            </w:r>
          </w:p>
        </w:tc>
        <w:tc>
          <w:tcPr>
            <w:tcW w:w="2275" w:type="dxa"/>
            <w:vMerge/>
          </w:tcPr>
          <w:p w:rsidR="00725839" w:rsidRPr="00C51F66" w:rsidRDefault="00725839" w:rsidP="006505FF">
            <w:pPr>
              <w:rPr>
                <w:bCs/>
                <w:sz w:val="20"/>
                <w:szCs w:val="20"/>
                <w:lang w:val="en-US"/>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tcPr>
          <w:p w:rsidR="00725839" w:rsidRDefault="00725839" w:rsidP="006505FF"/>
        </w:tc>
        <w:tc>
          <w:tcPr>
            <w:tcW w:w="6257" w:type="dxa"/>
            <w:gridSpan w:val="4"/>
          </w:tcPr>
          <w:p w:rsidR="00725839" w:rsidRPr="00725839" w:rsidRDefault="00725839" w:rsidP="00C51F66">
            <w:pPr>
              <w:widowControl w:val="0"/>
              <w:pBdr>
                <w:top w:val="nil"/>
                <w:left w:val="nil"/>
                <w:bottom w:val="nil"/>
                <w:right w:val="nil"/>
                <w:between w:val="nil"/>
              </w:pBdr>
              <w:spacing w:line="276" w:lineRule="auto"/>
              <w:jc w:val="center"/>
              <w:rPr>
                <w:rFonts w:eastAsia="Times New Roman" w:cs="Arial"/>
                <w:b/>
                <w:color w:val="000000"/>
                <w:lang w:eastAsia="en-GB"/>
              </w:rPr>
            </w:pPr>
            <w:r w:rsidRPr="00725839">
              <w:rPr>
                <w:rFonts w:eastAsia="Times New Roman" w:cs="Arial"/>
                <w:b/>
                <w:color w:val="000000"/>
                <w:lang w:eastAsia="en-GB"/>
              </w:rPr>
              <w:t>LGBT+ History Month</w:t>
            </w:r>
          </w:p>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Times New Roman" w:cs="Arial"/>
                <w:b/>
                <w:color w:val="000000"/>
                <w:lang w:eastAsia="en-GB"/>
              </w:rPr>
              <w:t>Safer Internet Day</w:t>
            </w:r>
          </w:p>
        </w:tc>
        <w:tc>
          <w:tcPr>
            <w:tcW w:w="1565" w:type="dxa"/>
            <w:vMerge/>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p>
        </w:tc>
        <w:tc>
          <w:tcPr>
            <w:tcW w:w="2275" w:type="dxa"/>
            <w:vMerge/>
          </w:tcPr>
          <w:p w:rsidR="00725839" w:rsidRPr="00C51F66" w:rsidRDefault="00725839" w:rsidP="006505FF">
            <w:pPr>
              <w:rPr>
                <w:bCs/>
                <w:sz w:val="20"/>
                <w:szCs w:val="20"/>
                <w:lang w:val="en-US"/>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val="restart"/>
          </w:tcPr>
          <w:p w:rsidR="00725839" w:rsidRDefault="00725839" w:rsidP="006505FF">
            <w:r>
              <w:t>4</w:t>
            </w:r>
          </w:p>
        </w:tc>
        <w:tc>
          <w:tcPr>
            <w:tcW w:w="1564" w:type="dxa"/>
            <w:vMerge w:val="restart"/>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Healthy Lifestyles</w:t>
            </w:r>
          </w:p>
          <w:p w:rsidR="00725839" w:rsidRPr="00725839" w:rsidRDefault="00725839" w:rsidP="00C51F66">
            <w:pPr>
              <w:jc w:val="center"/>
              <w:rPr>
                <w:bCs/>
                <w:lang w:val="en-US"/>
              </w:rPr>
            </w:pPr>
            <w:r w:rsidRPr="00725839">
              <w:rPr>
                <w:rFonts w:eastAsia="Arial" w:cs="Arial"/>
              </w:rPr>
              <w:t>Puberty</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Living in the Wider World</w:t>
            </w:r>
          </w:p>
          <w:p w:rsidR="00725839" w:rsidRPr="00725839" w:rsidRDefault="00725839" w:rsidP="00C51F66">
            <w:pPr>
              <w:jc w:val="center"/>
              <w:rPr>
                <w:bCs/>
                <w:lang w:val="en-US"/>
              </w:rPr>
            </w:pPr>
            <w:r w:rsidRPr="00725839">
              <w:rPr>
                <w:rFonts w:eastAsia="Arial" w:cs="Arial"/>
              </w:rPr>
              <w:t>Current Affairs</w:t>
            </w:r>
          </w:p>
        </w:tc>
        <w:tc>
          <w:tcPr>
            <w:tcW w:w="1565"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Living in the Wider World</w:t>
            </w:r>
          </w:p>
          <w:p w:rsidR="00725839" w:rsidRPr="00725839" w:rsidRDefault="00725839" w:rsidP="00C51F66">
            <w:pPr>
              <w:jc w:val="center"/>
              <w:rPr>
                <w:bCs/>
                <w:lang w:val="en-US"/>
              </w:rPr>
            </w:pPr>
            <w:r w:rsidRPr="00725839">
              <w:rPr>
                <w:rFonts w:eastAsia="Arial" w:cs="Arial"/>
              </w:rPr>
              <w:t>Duke of Edinburgh Award</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Healthy Lifestyles</w:t>
            </w:r>
          </w:p>
          <w:p w:rsidR="00725839" w:rsidRPr="00725839" w:rsidRDefault="00725839" w:rsidP="00C51F66">
            <w:pPr>
              <w:jc w:val="center"/>
              <w:rPr>
                <w:bCs/>
                <w:lang w:val="en-US"/>
              </w:rPr>
            </w:pPr>
            <w:r w:rsidRPr="00725839">
              <w:rPr>
                <w:rFonts w:eastAsia="Arial" w:cs="Arial"/>
              </w:rPr>
              <w:t>Physical Health and Fitness - Immunisation and Vaccination</w:t>
            </w:r>
          </w:p>
        </w:tc>
        <w:tc>
          <w:tcPr>
            <w:tcW w:w="1565" w:type="dxa"/>
            <w:vMerge/>
          </w:tcPr>
          <w:p w:rsidR="00725839" w:rsidRPr="00725839" w:rsidRDefault="00725839" w:rsidP="00C51F66">
            <w:pPr>
              <w:jc w:val="center"/>
              <w:rPr>
                <w:bCs/>
                <w:lang w:val="en-US"/>
              </w:rPr>
            </w:pPr>
          </w:p>
        </w:tc>
        <w:tc>
          <w:tcPr>
            <w:tcW w:w="2275" w:type="dxa"/>
            <w:vMerge/>
          </w:tcPr>
          <w:p w:rsidR="00725839" w:rsidRPr="00C51F66" w:rsidRDefault="00725839" w:rsidP="006505FF">
            <w:pPr>
              <w:rPr>
                <w:bCs/>
                <w:sz w:val="20"/>
                <w:szCs w:val="20"/>
                <w:lang w:val="en-US"/>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tcPr>
          <w:p w:rsidR="00725839" w:rsidRDefault="00725839" w:rsidP="006505FF"/>
        </w:tc>
        <w:tc>
          <w:tcPr>
            <w:tcW w:w="1564" w:type="dxa"/>
            <w:vMerge/>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p>
        </w:tc>
        <w:tc>
          <w:tcPr>
            <w:tcW w:w="6258" w:type="dxa"/>
            <w:gridSpan w:val="4"/>
          </w:tcPr>
          <w:p w:rsidR="00725839" w:rsidRPr="00725839" w:rsidRDefault="00725839" w:rsidP="00725839">
            <w:pPr>
              <w:jc w:val="center"/>
              <w:rPr>
                <w:rFonts w:eastAsia="Times New Roman" w:cs="Arial"/>
                <w:b/>
                <w:color w:val="000000"/>
                <w:lang w:eastAsia="en-GB"/>
              </w:rPr>
            </w:pPr>
            <w:r w:rsidRPr="00725839">
              <w:rPr>
                <w:rFonts w:eastAsia="Times New Roman" w:cs="Arial"/>
                <w:b/>
                <w:color w:val="000000"/>
                <w:lang w:eastAsia="en-GB"/>
              </w:rPr>
              <w:t>World Book Day</w:t>
            </w:r>
          </w:p>
          <w:p w:rsidR="00725839" w:rsidRPr="00725839" w:rsidRDefault="00725839" w:rsidP="00725839">
            <w:pPr>
              <w:jc w:val="center"/>
              <w:rPr>
                <w:bCs/>
                <w:lang w:val="en-US"/>
              </w:rPr>
            </w:pPr>
            <w:r w:rsidRPr="00725839">
              <w:rPr>
                <w:rFonts w:eastAsia="Times New Roman" w:cs="Arial"/>
                <w:b/>
                <w:color w:val="000000"/>
                <w:lang w:eastAsia="en-GB"/>
              </w:rPr>
              <w:t>National Careers Week</w:t>
            </w:r>
          </w:p>
        </w:tc>
        <w:tc>
          <w:tcPr>
            <w:tcW w:w="2275" w:type="dxa"/>
            <w:vMerge/>
          </w:tcPr>
          <w:p w:rsidR="00725839" w:rsidRPr="00C51F66" w:rsidRDefault="00725839" w:rsidP="006505FF">
            <w:pPr>
              <w:rPr>
                <w:bCs/>
                <w:sz w:val="20"/>
                <w:szCs w:val="20"/>
                <w:lang w:val="en-US"/>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val="restart"/>
          </w:tcPr>
          <w:p w:rsidR="00725839" w:rsidRDefault="00725839" w:rsidP="006505FF">
            <w:r>
              <w:t>5</w:t>
            </w:r>
          </w:p>
        </w:tc>
        <w:tc>
          <w:tcPr>
            <w:tcW w:w="1564" w:type="dxa"/>
            <w:vMerge/>
          </w:tcPr>
          <w:p w:rsidR="00725839" w:rsidRPr="00725839" w:rsidRDefault="00725839" w:rsidP="00C51F66">
            <w:pPr>
              <w:jc w:val="center"/>
              <w:rPr>
                <w:bCs/>
                <w:lang w:val="en-US"/>
              </w:rPr>
            </w:pP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Living in the Wider World</w:t>
            </w:r>
          </w:p>
          <w:p w:rsidR="00725839" w:rsidRPr="00725839" w:rsidRDefault="00725839" w:rsidP="00C51F66">
            <w:pPr>
              <w:jc w:val="center"/>
              <w:rPr>
                <w:bCs/>
                <w:lang w:val="en-US"/>
              </w:rPr>
            </w:pPr>
            <w:r w:rsidRPr="00725839">
              <w:rPr>
                <w:rFonts w:eastAsia="Arial" w:cs="Arial"/>
              </w:rPr>
              <w:t>Enterprise Challenge</w:t>
            </w:r>
          </w:p>
        </w:tc>
        <w:tc>
          <w:tcPr>
            <w:tcW w:w="1565"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Relationships</w:t>
            </w:r>
          </w:p>
          <w:p w:rsidR="00725839" w:rsidRPr="00725839" w:rsidRDefault="00725839" w:rsidP="00C51F66">
            <w:pPr>
              <w:jc w:val="center"/>
              <w:rPr>
                <w:bCs/>
                <w:lang w:val="en-US"/>
              </w:rPr>
            </w:pPr>
            <w:r w:rsidRPr="00725839">
              <w:rPr>
                <w:rFonts w:eastAsia="Arial" w:cs="Arial"/>
              </w:rPr>
              <w:t>Online and the Media</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Relationships</w:t>
            </w:r>
          </w:p>
          <w:p w:rsidR="00725839" w:rsidRPr="00725839" w:rsidRDefault="00725839" w:rsidP="00C51F66">
            <w:pPr>
              <w:jc w:val="center"/>
              <w:rPr>
                <w:bCs/>
                <w:lang w:val="en-US"/>
              </w:rPr>
            </w:pPr>
            <w:r w:rsidRPr="00725839">
              <w:rPr>
                <w:rFonts w:eastAsia="Arial" w:cs="Arial"/>
              </w:rPr>
              <w:t>Inclusion, belonging and addressing extremism</w:t>
            </w:r>
          </w:p>
        </w:tc>
        <w:tc>
          <w:tcPr>
            <w:tcW w:w="1565" w:type="dxa"/>
            <w:vMerge w:val="restart"/>
            <w:shd w:val="clear" w:color="auto" w:fill="B4C6E7" w:themeFill="accent1" w:themeFillTint="66"/>
          </w:tcPr>
          <w:p w:rsidR="00725839" w:rsidRPr="00725839" w:rsidRDefault="00725839" w:rsidP="00C51F66">
            <w:pPr>
              <w:jc w:val="center"/>
              <w:rPr>
                <w:bCs/>
                <w:lang w:val="en-US"/>
              </w:rPr>
            </w:pPr>
            <w:r w:rsidRPr="00725839">
              <w:rPr>
                <w:bCs/>
                <w:lang w:val="en-US"/>
              </w:rPr>
              <w:t xml:space="preserve">During the Summer Term Year 11 students will either further develop their study skills or take part in </w:t>
            </w:r>
            <w:proofErr w:type="spellStart"/>
            <w:r w:rsidRPr="00725839">
              <w:rPr>
                <w:bCs/>
                <w:lang w:val="en-US"/>
              </w:rPr>
              <w:t>specialised</w:t>
            </w:r>
            <w:proofErr w:type="spellEnd"/>
            <w:r w:rsidRPr="00725839">
              <w:rPr>
                <w:bCs/>
                <w:lang w:val="en-US"/>
              </w:rPr>
              <w:t xml:space="preserve"> intervention sessions identified for them.</w:t>
            </w:r>
          </w:p>
        </w:tc>
        <w:tc>
          <w:tcPr>
            <w:tcW w:w="2275" w:type="dxa"/>
            <w:vMerge/>
          </w:tcPr>
          <w:p w:rsidR="00725839" w:rsidRPr="00C51F66" w:rsidRDefault="00725839" w:rsidP="006505FF">
            <w:pPr>
              <w:rPr>
                <w:bCs/>
                <w:sz w:val="20"/>
                <w:szCs w:val="20"/>
                <w:lang w:val="en-US"/>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tcPr>
          <w:p w:rsidR="00725839" w:rsidRDefault="00725839" w:rsidP="006505FF"/>
        </w:tc>
        <w:tc>
          <w:tcPr>
            <w:tcW w:w="6257" w:type="dxa"/>
            <w:gridSpan w:val="4"/>
          </w:tcPr>
          <w:p w:rsidR="00725839" w:rsidRPr="00725839" w:rsidRDefault="00725839" w:rsidP="00725839">
            <w:pPr>
              <w:widowControl w:val="0"/>
              <w:pBdr>
                <w:top w:val="nil"/>
                <w:left w:val="nil"/>
                <w:bottom w:val="nil"/>
                <w:right w:val="nil"/>
                <w:between w:val="nil"/>
              </w:pBdr>
              <w:spacing w:line="276" w:lineRule="auto"/>
              <w:jc w:val="center"/>
              <w:rPr>
                <w:rFonts w:eastAsia="Times New Roman" w:cs="Arial"/>
                <w:b/>
                <w:color w:val="000000"/>
                <w:lang w:eastAsia="en-GB"/>
              </w:rPr>
            </w:pPr>
            <w:r w:rsidRPr="00725839">
              <w:rPr>
                <w:rFonts w:eastAsia="Times New Roman" w:cs="Arial"/>
                <w:b/>
                <w:color w:val="000000"/>
                <w:lang w:eastAsia="en-GB"/>
              </w:rPr>
              <w:t>Mental Health Awareness Week</w:t>
            </w:r>
          </w:p>
          <w:p w:rsidR="00725839" w:rsidRPr="00725839" w:rsidRDefault="00725839" w:rsidP="00725839">
            <w:pPr>
              <w:widowControl w:val="0"/>
              <w:pBdr>
                <w:top w:val="nil"/>
                <w:left w:val="nil"/>
                <w:bottom w:val="nil"/>
                <w:right w:val="nil"/>
                <w:between w:val="nil"/>
              </w:pBdr>
              <w:spacing w:line="276" w:lineRule="auto"/>
              <w:jc w:val="center"/>
              <w:rPr>
                <w:rFonts w:eastAsia="Arial" w:cs="Arial"/>
                <w:b/>
                <w:color w:val="00B0F0"/>
              </w:rPr>
            </w:pPr>
            <w:r w:rsidRPr="00725839">
              <w:rPr>
                <w:rFonts w:eastAsia="Times New Roman" w:cs="Arial"/>
                <w:b/>
                <w:color w:val="000000"/>
                <w:lang w:eastAsia="en-GB"/>
              </w:rPr>
              <w:t>RRSA Articles Week</w:t>
            </w:r>
          </w:p>
        </w:tc>
        <w:tc>
          <w:tcPr>
            <w:tcW w:w="1565" w:type="dxa"/>
            <w:vMerge/>
            <w:shd w:val="clear" w:color="auto" w:fill="B4C6E7" w:themeFill="accent1" w:themeFillTint="66"/>
          </w:tcPr>
          <w:p w:rsidR="00725839" w:rsidRPr="00725839" w:rsidRDefault="00725839" w:rsidP="00C51F66">
            <w:pPr>
              <w:jc w:val="center"/>
              <w:rPr>
                <w:bCs/>
                <w:lang w:val="en-US"/>
              </w:rPr>
            </w:pPr>
          </w:p>
        </w:tc>
        <w:tc>
          <w:tcPr>
            <w:tcW w:w="2275" w:type="dxa"/>
            <w:vMerge/>
          </w:tcPr>
          <w:p w:rsidR="00725839" w:rsidRPr="00C51F66" w:rsidRDefault="00725839" w:rsidP="006505FF">
            <w:pPr>
              <w:rPr>
                <w:bCs/>
                <w:sz w:val="20"/>
                <w:szCs w:val="20"/>
                <w:lang w:val="en-US"/>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val="restart"/>
          </w:tcPr>
          <w:p w:rsidR="00725839" w:rsidRDefault="00725839" w:rsidP="006505FF">
            <w:r>
              <w:t>6</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Relationships</w:t>
            </w:r>
          </w:p>
          <w:p w:rsidR="00725839" w:rsidRPr="00725839" w:rsidRDefault="00725839" w:rsidP="00C51F66">
            <w:pPr>
              <w:jc w:val="center"/>
              <w:rPr>
                <w:bCs/>
                <w:lang w:val="en-US"/>
              </w:rPr>
            </w:pPr>
            <w:r w:rsidRPr="00725839">
              <w:rPr>
                <w:rFonts w:eastAsia="Arial" w:cs="Arial"/>
              </w:rPr>
              <w:t>Human Rights - The Rights of a Child</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00B0F0"/>
              </w:rPr>
            </w:pPr>
            <w:r w:rsidRPr="00725839">
              <w:rPr>
                <w:rFonts w:eastAsia="Arial" w:cs="Arial"/>
                <w:b/>
                <w:color w:val="00B0F0"/>
              </w:rPr>
              <w:t>Relationships</w:t>
            </w:r>
          </w:p>
          <w:p w:rsidR="00725839" w:rsidRPr="00725839" w:rsidRDefault="00725839" w:rsidP="00C51F66">
            <w:pPr>
              <w:jc w:val="center"/>
              <w:rPr>
                <w:rFonts w:eastAsia="Arial" w:cs="Arial"/>
              </w:rPr>
            </w:pPr>
            <w:r w:rsidRPr="00725839">
              <w:rPr>
                <w:rFonts w:eastAsia="Arial" w:cs="Arial"/>
              </w:rPr>
              <w:t>Child Exploitation</w:t>
            </w:r>
          </w:p>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7030A0"/>
              </w:rPr>
            </w:pPr>
            <w:r w:rsidRPr="00725839">
              <w:rPr>
                <w:rFonts w:eastAsia="Arial" w:cs="Arial"/>
                <w:b/>
                <w:color w:val="7030A0"/>
              </w:rPr>
              <w:t>CEIaG</w:t>
            </w:r>
          </w:p>
          <w:p w:rsidR="00725839" w:rsidRPr="00725839" w:rsidRDefault="00725839" w:rsidP="00C51F66">
            <w:pPr>
              <w:jc w:val="center"/>
              <w:rPr>
                <w:bCs/>
                <w:lang w:val="en-US"/>
              </w:rPr>
            </w:pPr>
            <w:r w:rsidRPr="00725839">
              <w:rPr>
                <w:rFonts w:eastAsia="Arial" w:cs="Arial"/>
              </w:rPr>
              <w:t>Employability Skills</w:t>
            </w:r>
          </w:p>
        </w:tc>
        <w:tc>
          <w:tcPr>
            <w:tcW w:w="1565"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7030A0"/>
              </w:rPr>
            </w:pPr>
            <w:r w:rsidRPr="00725839">
              <w:rPr>
                <w:rFonts w:eastAsia="Arial" w:cs="Arial"/>
                <w:b/>
                <w:color w:val="7030A0"/>
              </w:rPr>
              <w:t>CEIaG</w:t>
            </w:r>
          </w:p>
          <w:p w:rsidR="00725839" w:rsidRPr="00725839" w:rsidRDefault="00725839" w:rsidP="00C51F66">
            <w:pPr>
              <w:jc w:val="center"/>
              <w:rPr>
                <w:bCs/>
                <w:lang w:val="en-US"/>
              </w:rPr>
            </w:pPr>
            <w:r w:rsidRPr="00725839">
              <w:rPr>
                <w:rFonts w:eastAsia="Arial" w:cs="Arial"/>
              </w:rPr>
              <w:t>Employability Skills</w:t>
            </w:r>
          </w:p>
        </w:tc>
        <w:tc>
          <w:tcPr>
            <w:tcW w:w="1564" w:type="dxa"/>
          </w:tcPr>
          <w:p w:rsidR="00725839" w:rsidRPr="00725839" w:rsidRDefault="00725839" w:rsidP="00C51F66">
            <w:pPr>
              <w:widowControl w:val="0"/>
              <w:pBdr>
                <w:top w:val="nil"/>
                <w:left w:val="nil"/>
                <w:bottom w:val="nil"/>
                <w:right w:val="nil"/>
                <w:between w:val="nil"/>
              </w:pBdr>
              <w:spacing w:line="276" w:lineRule="auto"/>
              <w:jc w:val="center"/>
              <w:rPr>
                <w:rFonts w:eastAsia="Arial" w:cs="Arial"/>
                <w:b/>
                <w:color w:val="7030A0"/>
              </w:rPr>
            </w:pPr>
            <w:r w:rsidRPr="00725839">
              <w:rPr>
                <w:rFonts w:eastAsia="Arial" w:cs="Arial"/>
                <w:b/>
                <w:color w:val="7030A0"/>
              </w:rPr>
              <w:t>CEIaG</w:t>
            </w:r>
          </w:p>
          <w:p w:rsidR="00725839" w:rsidRPr="00725839" w:rsidRDefault="00725839" w:rsidP="00C51F66">
            <w:pPr>
              <w:jc w:val="center"/>
              <w:rPr>
                <w:bCs/>
                <w:lang w:val="en-US"/>
              </w:rPr>
            </w:pPr>
            <w:r w:rsidRPr="00725839">
              <w:rPr>
                <w:rFonts w:eastAsia="Arial" w:cs="Arial"/>
              </w:rPr>
              <w:t>Careers Pathways</w:t>
            </w:r>
          </w:p>
        </w:tc>
        <w:tc>
          <w:tcPr>
            <w:tcW w:w="1565" w:type="dxa"/>
            <w:vMerge/>
            <w:shd w:val="clear" w:color="auto" w:fill="B4C6E7" w:themeFill="accent1" w:themeFillTint="66"/>
          </w:tcPr>
          <w:p w:rsidR="00725839" w:rsidRPr="00725839" w:rsidRDefault="00725839" w:rsidP="00C51F66">
            <w:pPr>
              <w:jc w:val="center"/>
              <w:rPr>
                <w:bCs/>
                <w:lang w:val="en-US"/>
              </w:rPr>
            </w:pPr>
          </w:p>
        </w:tc>
        <w:tc>
          <w:tcPr>
            <w:tcW w:w="2275" w:type="dxa"/>
            <w:vMerge/>
          </w:tcPr>
          <w:p w:rsidR="00725839" w:rsidRPr="00C51F66" w:rsidRDefault="00725839" w:rsidP="006505FF">
            <w:pPr>
              <w:rPr>
                <w:bCs/>
                <w:sz w:val="20"/>
                <w:szCs w:val="20"/>
                <w:lang w:val="en-US"/>
              </w:rPr>
            </w:pPr>
          </w:p>
        </w:tc>
      </w:tr>
      <w:tr w:rsidR="00725839" w:rsidTr="00725839">
        <w:tc>
          <w:tcPr>
            <w:tcW w:w="1670" w:type="dxa"/>
            <w:vMerge/>
          </w:tcPr>
          <w:p w:rsidR="00725839" w:rsidRDefault="00725839" w:rsidP="006505FF">
            <w:pPr>
              <w:rPr>
                <w:bCs/>
                <w:lang w:val="en-US"/>
              </w:rPr>
            </w:pPr>
          </w:p>
        </w:tc>
        <w:tc>
          <w:tcPr>
            <w:tcW w:w="1699" w:type="dxa"/>
            <w:vMerge/>
          </w:tcPr>
          <w:p w:rsidR="00725839" w:rsidRPr="00C51F66" w:rsidRDefault="00725839" w:rsidP="006505FF">
            <w:pPr>
              <w:rPr>
                <w:bCs/>
                <w:sz w:val="20"/>
                <w:lang w:val="en-US"/>
              </w:rPr>
            </w:pPr>
          </w:p>
        </w:tc>
        <w:tc>
          <w:tcPr>
            <w:tcW w:w="708" w:type="dxa"/>
            <w:vMerge/>
          </w:tcPr>
          <w:p w:rsidR="00725839" w:rsidRDefault="00725839" w:rsidP="006505FF"/>
        </w:tc>
        <w:tc>
          <w:tcPr>
            <w:tcW w:w="7822" w:type="dxa"/>
            <w:gridSpan w:val="5"/>
          </w:tcPr>
          <w:p w:rsidR="00725839" w:rsidRPr="00725839" w:rsidRDefault="00725839" w:rsidP="00C51F66">
            <w:pPr>
              <w:jc w:val="center"/>
              <w:rPr>
                <w:bCs/>
                <w:lang w:val="en-US"/>
              </w:rPr>
            </w:pPr>
            <w:r w:rsidRPr="00725839">
              <w:rPr>
                <w:rFonts w:eastAsia="Times New Roman" w:cs="Arial"/>
                <w:b/>
                <w:color w:val="000000"/>
                <w:lang w:eastAsia="en-GB"/>
              </w:rPr>
              <w:t>RSE Day</w:t>
            </w:r>
          </w:p>
        </w:tc>
        <w:tc>
          <w:tcPr>
            <w:tcW w:w="2275" w:type="dxa"/>
            <w:vMerge/>
          </w:tcPr>
          <w:p w:rsidR="00725839" w:rsidRPr="00C51F66" w:rsidRDefault="00725839" w:rsidP="006505FF">
            <w:pPr>
              <w:rPr>
                <w:bCs/>
                <w:sz w:val="20"/>
                <w:szCs w:val="20"/>
                <w:lang w:val="en-US"/>
              </w:rPr>
            </w:pPr>
          </w:p>
        </w:tc>
      </w:tr>
    </w:tbl>
    <w:p w:rsidR="00A603B7" w:rsidRPr="006505FF" w:rsidRDefault="00A603B7" w:rsidP="00725839">
      <w:pPr>
        <w:rPr>
          <w:bCs/>
          <w:lang w:val="en-US"/>
        </w:rPr>
      </w:pPr>
    </w:p>
    <w:sectPr w:rsidR="00A603B7" w:rsidRPr="006505FF" w:rsidSect="00D768B8">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7DC3"/>
    <w:multiLevelType w:val="multilevel"/>
    <w:tmpl w:val="F716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4F"/>
    <w:rsid w:val="003907A5"/>
    <w:rsid w:val="00631E6B"/>
    <w:rsid w:val="006505FF"/>
    <w:rsid w:val="00725839"/>
    <w:rsid w:val="007A3995"/>
    <w:rsid w:val="0086428D"/>
    <w:rsid w:val="008B2A4F"/>
    <w:rsid w:val="00A603B7"/>
    <w:rsid w:val="00C51F66"/>
    <w:rsid w:val="00CF11FD"/>
    <w:rsid w:val="00D768B8"/>
    <w:rsid w:val="00E0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64888-EBC7-4A64-A8B3-97E9F03A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A4F"/>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0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603B7"/>
  </w:style>
  <w:style w:type="character" w:customStyle="1" w:styleId="normaltextrun">
    <w:name w:val="normaltextrun"/>
    <w:basedOn w:val="DefaultParagraphFont"/>
    <w:rsid w:val="00A603B7"/>
  </w:style>
  <w:style w:type="paragraph" w:customStyle="1" w:styleId="Normal1">
    <w:name w:val="Normal1"/>
    <w:rsid w:val="00A603B7"/>
    <w:pPr>
      <w:spacing w:after="0" w:line="276" w:lineRule="auto"/>
    </w:pPr>
    <w:rPr>
      <w:rFonts w:ascii="Arial" w:eastAsia="Arial" w:hAnsi="Arial" w:cs="Arial"/>
      <w:kern w:val="0"/>
      <w:lang w:eastAsia="en-GB"/>
    </w:rPr>
  </w:style>
  <w:style w:type="character" w:styleId="Strong">
    <w:name w:val="Strong"/>
    <w:basedOn w:val="DefaultParagraphFont"/>
    <w:uiPriority w:val="22"/>
    <w:qFormat/>
    <w:rsid w:val="00A603B7"/>
    <w:rPr>
      <w:b/>
      <w:bCs/>
    </w:rPr>
  </w:style>
  <w:style w:type="character" w:styleId="Hyperlink">
    <w:name w:val="Hyperlink"/>
    <w:basedOn w:val="DefaultParagraphFont"/>
    <w:uiPriority w:val="99"/>
    <w:unhideWhenUsed/>
    <w:rsid w:val="0072583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84CA2-349D-4DBD-B84A-52A99BCA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eng2rsd@outlook.com</dc:creator>
  <cp:lastModifiedBy>Miss R Dann</cp:lastModifiedBy>
  <cp:revision>2</cp:revision>
  <dcterms:created xsi:type="dcterms:W3CDTF">2023-10-10T09:04:00Z</dcterms:created>
  <dcterms:modified xsi:type="dcterms:W3CDTF">2023-10-10T09:04:00Z</dcterms:modified>
</cp:coreProperties>
</file>